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0A" w:rsidRDefault="00063BA0">
      <w:pPr>
        <w:spacing w:after="229" w:line="259" w:lineRule="auto"/>
        <w:ind w:left="4339" w:right="0"/>
        <w:jc w:val="left"/>
      </w:pPr>
      <w:r>
        <w:rPr>
          <w:noProof/>
        </w:rPr>
        <w:drawing>
          <wp:inline distT="0" distB="0" distL="0" distR="0">
            <wp:extent cx="514183" cy="572297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183" cy="57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0A" w:rsidRDefault="00063BA0">
      <w:pPr>
        <w:spacing w:after="107" w:line="259" w:lineRule="auto"/>
        <w:ind w:left="10" w:hanging="10"/>
        <w:jc w:val="center"/>
      </w:pPr>
      <w:r>
        <w:t>ПРАВИТЕЛЬСТВО САНКТ-ПЕТЕРБУРГА</w:t>
      </w:r>
    </w:p>
    <w:p w:rsidR="008E720A" w:rsidRDefault="00063BA0">
      <w:pPr>
        <w:spacing w:after="107" w:line="259" w:lineRule="auto"/>
        <w:ind w:left="10" w:right="219" w:hanging="10"/>
        <w:jc w:val="center"/>
      </w:pPr>
      <w:r>
        <w:t>КОМИТЕТ ПО КУЛЬТУРЕ</w:t>
      </w:r>
    </w:p>
    <w:p w:rsidR="008E720A" w:rsidRDefault="00063BA0">
      <w:pPr>
        <w:spacing w:after="0" w:line="259" w:lineRule="auto"/>
        <w:ind w:left="10" w:right="219" w:hanging="10"/>
        <w:jc w:val="center"/>
      </w:pPr>
      <w:r>
        <w:rPr>
          <w:sz w:val="26"/>
        </w:rPr>
        <w:t>САНКТ-ПЕТЕРБУРГСКОЕ</w:t>
      </w:r>
    </w:p>
    <w:p w:rsidR="008E720A" w:rsidRDefault="00063BA0">
      <w:pPr>
        <w:spacing w:after="0" w:line="259" w:lineRule="auto"/>
        <w:ind w:left="10" w:right="250" w:hanging="10"/>
        <w:jc w:val="center"/>
      </w:pPr>
      <w:r>
        <w:rPr>
          <w:sz w:val="26"/>
        </w:rPr>
        <w:t>ГОСУДАРСТВЕННОЕ БЮДЖЕТНОЕ УЧРЕЖДЕНИЕ КУЛЬТУРЫ</w:t>
      </w:r>
    </w:p>
    <w:p w:rsidR="008E720A" w:rsidRDefault="00063BA0">
      <w:pPr>
        <w:spacing w:line="251" w:lineRule="auto"/>
        <w:ind w:left="540" w:right="0"/>
        <w:jc w:val="left"/>
      </w:pPr>
      <w:r>
        <w:rPr>
          <w:sz w:val="26"/>
        </w:rPr>
        <w:t>«САНКТ-ПЕТЕРБУРГСКИЙ ГОСУДАРСТВЕННЫЙ АКАДЕМИЧЕСКИЙ</w:t>
      </w:r>
    </w:p>
    <w:tbl>
      <w:tblPr>
        <w:tblStyle w:val="TableGrid"/>
        <w:tblpPr w:vertAnchor="text" w:tblpX="575" w:tblpY="774"/>
        <w:tblOverlap w:val="never"/>
        <w:tblW w:w="7996" w:type="dxa"/>
        <w:tblInd w:w="0" w:type="dxa"/>
        <w:tblLook w:val="04A0" w:firstRow="1" w:lastRow="0" w:firstColumn="1" w:lastColumn="0" w:noHBand="0" w:noVBand="1"/>
      </w:tblPr>
      <w:tblGrid>
        <w:gridCol w:w="6300"/>
        <w:gridCol w:w="1696"/>
      </w:tblGrid>
      <w:tr w:rsidR="008E720A">
        <w:trPr>
          <w:trHeight w:val="457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E720A" w:rsidRDefault="00063BA0">
            <w:pPr>
              <w:spacing w:after="0" w:line="259" w:lineRule="auto"/>
              <w:ind w:left="1059" w:right="0"/>
              <w:jc w:val="center"/>
            </w:pPr>
            <w:r>
              <w:rPr>
                <w:sz w:val="40"/>
              </w:rPr>
              <w:t>ПРИКАЗ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20A" w:rsidRDefault="00063BA0">
            <w:pPr>
              <w:spacing w:after="0" w:line="259" w:lineRule="auto"/>
              <w:ind w:right="0"/>
              <w:jc w:val="right"/>
            </w:pPr>
            <w:r>
              <w:rPr>
                <w:sz w:val="28"/>
              </w:rPr>
              <w:t>луд</w:t>
            </w:r>
          </w:p>
        </w:tc>
      </w:tr>
      <w:tr w:rsidR="008E720A">
        <w:trPr>
          <w:trHeight w:val="4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20A" w:rsidRDefault="00A66A57">
            <w:pPr>
              <w:spacing w:after="0" w:line="259" w:lineRule="auto"/>
              <w:ind w:right="0"/>
              <w:jc w:val="left"/>
            </w:pPr>
            <w:r>
              <w:t>29.12. 201</w:t>
            </w:r>
            <w:r w:rsidR="00063BA0">
              <w:t xml:space="preserve">8г.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20A" w:rsidRDefault="00063BA0">
            <w:pPr>
              <w:spacing w:after="0" w:line="259" w:lineRule="auto"/>
              <w:ind w:right="0"/>
              <w:jc w:val="left"/>
            </w:pPr>
            <w:proofErr w:type="spellStart"/>
            <w:r>
              <w:rPr>
                <w:sz w:val="28"/>
              </w:rPr>
              <w:t>зоо-ов</w:t>
            </w:r>
            <w:proofErr w:type="spellEnd"/>
          </w:p>
        </w:tc>
      </w:tr>
    </w:tbl>
    <w:p w:rsidR="00A66A57" w:rsidRDefault="00A66A57">
      <w:pPr>
        <w:spacing w:before="754" w:after="538" w:line="244" w:lineRule="auto"/>
        <w:ind w:left="122" w:right="6208" w:hanging="46"/>
        <w:rPr>
          <w:sz w:val="22"/>
        </w:rPr>
      </w:pPr>
    </w:p>
    <w:p w:rsidR="008E720A" w:rsidRDefault="00A66A57">
      <w:pPr>
        <w:spacing w:before="754" w:after="538" w:line="244" w:lineRule="auto"/>
        <w:ind w:left="122" w:right="6208" w:hanging="46"/>
      </w:pPr>
      <w:r>
        <w:rPr>
          <w:sz w:val="22"/>
        </w:rPr>
        <w:t xml:space="preserve">О </w:t>
      </w:r>
      <w:r w:rsidR="00063BA0">
        <w:rPr>
          <w:sz w:val="22"/>
        </w:rPr>
        <w:t>внесении изменений в учетную политику для целей бухгалтерского учета с 0 1 .</w:t>
      </w:r>
      <w:r>
        <w:rPr>
          <w:sz w:val="22"/>
        </w:rPr>
        <w:t>0</w:t>
      </w:r>
      <w:r w:rsidR="00063BA0">
        <w:rPr>
          <w:sz w:val="22"/>
        </w:rPr>
        <w:t xml:space="preserve"> l </w:t>
      </w:r>
      <w:r>
        <w:rPr>
          <w:sz w:val="22"/>
        </w:rPr>
        <w:t>.2019</w:t>
      </w:r>
      <w:r w:rsidR="00063BA0">
        <w:rPr>
          <w:sz w:val="22"/>
        </w:rPr>
        <w:t>.</w:t>
      </w:r>
    </w:p>
    <w:p w:rsidR="008E720A" w:rsidRDefault="00063BA0">
      <w:pPr>
        <w:spacing w:after="295"/>
        <w:ind w:left="46" w:right="46"/>
      </w:pPr>
      <w:r>
        <w:t xml:space="preserve">В связи вступлением в силу с января 2019 года федеральных стандартов госсектора по приказам Минфина от 30.05.2018 № 122н «Влияние изменений курсов иностранных валют», </w:t>
      </w:r>
      <w:r>
        <w:rPr>
          <w:noProof/>
        </w:rPr>
        <w:drawing>
          <wp:inline distT="0" distB="0" distL="0" distR="0">
            <wp:extent cx="6468" cy="25866"/>
            <wp:effectExtent l="0" t="0" r="0" b="0"/>
            <wp:docPr id="6724" name="Picture 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" name="Picture 67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2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 27.02.2018 № 32н «Доходы», от 30.12.2017 № 274н «Учетная политика, оценочные значения и ошибки», № 275н «События после отчетной даты», № 278н «Отчет о движении денежных средств».</w:t>
      </w:r>
    </w:p>
    <w:p w:rsidR="008E720A" w:rsidRDefault="00063BA0">
      <w:pPr>
        <w:pStyle w:val="1"/>
      </w:pPr>
      <w:r>
        <w:t>Приказываю</w:t>
      </w:r>
      <w:r>
        <w:rPr>
          <w:noProof/>
        </w:rPr>
        <w:drawing>
          <wp:inline distT="0" distB="0" distL="0" distR="0">
            <wp:extent cx="42040" cy="87300"/>
            <wp:effectExtent l="0" t="0" r="0" b="0"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40" cy="8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0A" w:rsidRDefault="00063BA0">
      <w:pPr>
        <w:spacing w:after="277"/>
        <w:ind w:left="46" w:right="46"/>
      </w:pPr>
      <w:r>
        <w:t>внести следующие изменения в учетную политику для целей бухгалтерского учета, утвержденную приказом руководителя от 29.12.2017г. N2 278-ОВ:</w:t>
      </w:r>
    </w:p>
    <w:p w:rsidR="008E720A" w:rsidRDefault="00063BA0">
      <w:pPr>
        <w:spacing w:line="251" w:lineRule="auto"/>
        <w:ind w:left="66" w:right="0"/>
        <w:jc w:val="left"/>
      </w:pPr>
      <w:r>
        <w:rPr>
          <w:sz w:val="26"/>
        </w:rPr>
        <w:t>1. Раздел «Общие положения» дополнить пунктами З и 4:</w:t>
      </w:r>
      <w:r>
        <w:rPr>
          <w:noProof/>
        </w:rPr>
        <w:drawing>
          <wp:inline distT="0" distB="0" distL="0" distR="0">
            <wp:extent cx="3234" cy="6466"/>
            <wp:effectExtent l="0" t="0" r="0" b="0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0A" w:rsidRDefault="00063BA0">
      <w:pPr>
        <w:ind w:left="46" w:right="46" w:firstLine="71"/>
      </w:pPr>
      <w:r>
        <w:t>«3.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8E720A" w:rsidRDefault="00063BA0">
      <w:pPr>
        <w:ind w:left="46" w:right="46"/>
      </w:pPr>
      <w:r>
        <w:t>Основание: пункт 9 СГС «Учетная политика, оценочные значения и ошибки».</w:t>
      </w:r>
      <w:r>
        <w:rPr>
          <w:noProof/>
        </w:rPr>
        <w:drawing>
          <wp:inline distT="0" distB="0" distL="0" distR="0">
            <wp:extent cx="6468" cy="3233"/>
            <wp:effectExtent l="0" t="0" r="0" b="0"/>
            <wp:docPr id="1619" name="Picture 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16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0A" w:rsidRDefault="00063BA0">
      <w:pPr>
        <w:ind w:left="46" w:right="46"/>
      </w:pPr>
      <w:r>
        <w:t>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суждения,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8E720A" w:rsidRDefault="00063BA0">
      <w:pPr>
        <w:spacing w:after="297"/>
        <w:ind w:left="46" w:right="46"/>
      </w:pPr>
      <w:r>
        <w:t>Основание: пункты 7, 20, 32 СГС «Учетная политика, оценочные значения и ошибки».</w:t>
      </w:r>
    </w:p>
    <w:p w:rsidR="008E720A" w:rsidRDefault="00063BA0">
      <w:pPr>
        <w:numPr>
          <w:ilvl w:val="0"/>
          <w:numId w:val="1"/>
        </w:numPr>
        <w:ind w:right="0"/>
        <w:jc w:val="left"/>
      </w:pPr>
      <w:r>
        <w:t xml:space="preserve">В разделе 11 «Финансовый результат» дополнить подпункт 11.8: «11.8. Резерв по сомнительным долгам создается в конце каждого отчетного периода не позднее последнего дня отчетного периода. Основание для создания резерва —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620" name="Picture 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Picture 16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долга. Величина резерва равна величине выявленной сомнительной задолженности.».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0A" w:rsidRDefault="00063BA0">
      <w:pPr>
        <w:numPr>
          <w:ilvl w:val="0"/>
          <w:numId w:val="1"/>
        </w:numPr>
        <w:spacing w:line="251" w:lineRule="auto"/>
        <w:ind w:right="0"/>
        <w:jc w:val="left"/>
      </w:pPr>
      <w:r>
        <w:rPr>
          <w:sz w:val="26"/>
        </w:rPr>
        <w:lastRenderedPageBreak/>
        <w:t>Пункт З Положения о комиссии по поступлению и выбытию активов дополнить пунктом 3.122 следующего содержания»;</w:t>
      </w:r>
    </w:p>
    <w:p w:rsidR="008E720A" w:rsidRDefault="00063BA0">
      <w:pPr>
        <w:ind w:left="46" w:right="46"/>
      </w:pPr>
      <w:r>
        <w:t>«3.1.22. выявление сомнительной и безнадежной задолженности;</w:t>
      </w:r>
    </w:p>
    <w:p w:rsidR="008E720A" w:rsidRDefault="00063BA0">
      <w:pPr>
        <w:spacing w:after="273" w:line="259" w:lineRule="auto"/>
        <w:ind w:left="81" w:right="0"/>
        <w:jc w:val="left"/>
      </w:pPr>
      <w:proofErr w:type="gramStart"/>
      <w:r>
        <w:t>Основание :</w:t>
      </w:r>
      <w:proofErr w:type="gramEnd"/>
      <w:r>
        <w:rPr>
          <w:u w:val="single" w:color="000000"/>
        </w:rPr>
        <w:t>п. 1 1 СГС «Доходы»</w:t>
      </w:r>
      <w:r>
        <w:t>»</w:t>
      </w:r>
    </w:p>
    <w:p w:rsidR="008E720A" w:rsidRDefault="00063BA0">
      <w:pPr>
        <w:numPr>
          <w:ilvl w:val="0"/>
          <w:numId w:val="1"/>
        </w:numPr>
        <w:spacing w:after="28" w:line="251" w:lineRule="auto"/>
        <w:ind w:right="0"/>
        <w:jc w:val="left"/>
      </w:pPr>
      <w:r>
        <w:rPr>
          <w:sz w:val="26"/>
        </w:rPr>
        <w:t>Положение о признании дебиторской задолженности, безнадежной к взысканию, дополнить пунктами 2.5:</w:t>
      </w:r>
    </w:p>
    <w:p w:rsidR="008E720A" w:rsidRDefault="00063BA0">
      <w:pPr>
        <w:spacing w:after="293"/>
        <w:ind w:left="46" w:right="46"/>
      </w:pPr>
      <w:r>
        <w:t>«2,5. С целью квалификации задолженности сомнительной каждый долг индивидуально оценивается на предмет наличия обстоятельств, приведенных в пункте 2. 3 настоящего положения». (</w:t>
      </w:r>
      <w:r>
        <w:rPr>
          <w:u w:val="single" w:color="000000"/>
        </w:rPr>
        <w:t>п. 1 1 СГС «доходы»</w:t>
      </w:r>
      <w:r>
        <w:t>).</w:t>
      </w:r>
    </w:p>
    <w:p w:rsidR="008E720A" w:rsidRDefault="00063BA0">
      <w:pPr>
        <w:spacing w:line="251" w:lineRule="auto"/>
        <w:ind w:left="66" w:right="0"/>
        <w:jc w:val="left"/>
      </w:pPr>
      <w:r>
        <w:rPr>
          <w:sz w:val="26"/>
        </w:rPr>
        <w:t>5, Раздел VIII Бухгалтерская (финансовая) отчетность дополнить пунктом 4 следующего содержания: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0A" w:rsidRDefault="00063BA0">
      <w:pPr>
        <w:spacing w:after="142"/>
        <w:ind w:left="46" w:right="46"/>
      </w:pPr>
      <w:r>
        <w:t xml:space="preserve">« 4.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</w:t>
      </w:r>
      <w:r>
        <w:rPr>
          <w:noProof/>
        </w:rPr>
        <w:drawing>
          <wp:inline distT="0" distB="0" distL="0" distR="0">
            <wp:extent cx="6468" cy="3234"/>
            <wp:effectExtent l="0" t="0" r="0" b="0"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денежными притоками учреждения от всех видов деятельности и их оттоками. Основание: </w:t>
      </w:r>
      <w:r>
        <w:rPr>
          <w:u w:val="single" w:color="000000"/>
        </w:rPr>
        <w:t>пункт 19</w:t>
      </w:r>
      <w:r>
        <w:t xml:space="preserve"> СГС «Отчет о движении денежных средств».</w:t>
      </w:r>
    </w:p>
    <w:p w:rsidR="008E720A" w:rsidRDefault="00063BA0">
      <w:pPr>
        <w:spacing w:after="109"/>
        <w:ind w:left="46" w:right="46"/>
      </w:pPr>
      <w:r>
        <w:t xml:space="preserve">Классификация денежных потоков производится в соответствии с </w:t>
      </w:r>
      <w:r>
        <w:rPr>
          <w:u w:val="single" w:color="000000"/>
        </w:rPr>
        <w:t>пунктом 7</w:t>
      </w:r>
      <w:r>
        <w:t xml:space="preserve"> СГС 'Отчет о движении денежных средств“ по правилам, установленным в </w:t>
      </w:r>
      <w:r>
        <w:rPr>
          <w:u w:val="single" w:color="000000"/>
        </w:rPr>
        <w:t>пунктах 8—10</w:t>
      </w:r>
      <w:r>
        <w:t xml:space="preserve"> </w:t>
      </w:r>
      <w:proofErr w:type="gramStart"/>
      <w:r>
        <w:t>СГС ”Отчет</w:t>
      </w:r>
      <w:proofErr w:type="gramEnd"/>
      <w:r>
        <w:t xml:space="preserve"> о движении денежных средств“»</w:t>
      </w:r>
    </w:p>
    <w:p w:rsidR="008E720A" w:rsidRDefault="00063BA0">
      <w:pPr>
        <w:spacing w:line="251" w:lineRule="auto"/>
        <w:ind w:left="66" w:right="0"/>
        <w:jc w:val="left"/>
      </w:pPr>
      <w:r>
        <w:rPr>
          <w:sz w:val="26"/>
        </w:rPr>
        <w:t>6. Раздел V Учет отдельных видов имущества и обязательств дополнить пунктом З:</w:t>
      </w:r>
    </w:p>
    <w:p w:rsidR="008E720A" w:rsidRDefault="00063BA0">
      <w:pPr>
        <w:ind w:left="46" w:right="46" w:firstLine="71"/>
      </w:pPr>
      <w:r>
        <w:t xml:space="preserve">«3, </w:t>
      </w:r>
      <w:proofErr w:type="gramStart"/>
      <w:r>
        <w:t>В</w:t>
      </w:r>
      <w:proofErr w:type="gramEnd"/>
      <w:r>
        <w:t xml:space="preserve">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бухгалтера, Основание: пункт 6 СГС «Учетная политика, оценочные значения и ошибки».</w:t>
      </w:r>
    </w:p>
    <w:p w:rsidR="008E720A" w:rsidRDefault="00063BA0">
      <w:pPr>
        <w:ind w:left="46" w:right="46"/>
      </w:pPr>
      <w:r>
        <w:rPr>
          <w:noProof/>
        </w:rPr>
        <w:drawing>
          <wp:inline distT="0" distB="0" distL="0" distR="0">
            <wp:extent cx="3234" cy="3234"/>
            <wp:effectExtent l="0" t="0" r="0" b="0"/>
            <wp:docPr id="3489" name="Picture 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" name="Picture 34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 Внесенные изменения действуют при формировании объектов учета с 1 января 2019 года.</w:t>
      </w:r>
    </w:p>
    <w:p w:rsidR="00A66A57" w:rsidRDefault="00063BA0">
      <w:pPr>
        <w:spacing w:after="1860" w:line="330" w:lineRule="auto"/>
        <w:ind w:left="153" w:right="46" w:hanging="107"/>
      </w:pPr>
      <w:r>
        <w:t xml:space="preserve">8. Контроль за исполнением приказа возложить на главного </w:t>
      </w:r>
      <w:proofErr w:type="gramStart"/>
      <w:r>
        <w:t xml:space="preserve">бухгалтера </w:t>
      </w:r>
      <w:r w:rsidR="00A66A57">
        <w:t>.</w:t>
      </w:r>
      <w:bookmarkStart w:id="0" w:name="_GoBack"/>
      <w:bookmarkEnd w:id="0"/>
      <w:proofErr w:type="gramEnd"/>
    </w:p>
    <w:sectPr w:rsidR="00A66A57">
      <w:pgSz w:w="11902" w:h="16834"/>
      <w:pgMar w:top="728" w:right="947" w:bottom="1261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9C8"/>
    <w:multiLevelType w:val="hybridMultilevel"/>
    <w:tmpl w:val="E3002CEE"/>
    <w:lvl w:ilvl="0" w:tplc="EF12487E">
      <w:start w:val="2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8E9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87F0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C56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C709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0E05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CEE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4DAB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65CE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A"/>
    <w:rsid w:val="000131C4"/>
    <w:rsid w:val="00063BA0"/>
    <w:rsid w:val="008E720A"/>
    <w:rsid w:val="00A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4CDE"/>
  <w15:docId w15:val="{44C40E6B-62CB-4217-9C98-5CE0733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6" w:lineRule="auto"/>
      <w:ind w:right="2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61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 Татьяна Константиновна</dc:creator>
  <cp:keywords/>
  <cp:lastModifiedBy>Кряжова Татьяна Константиновна</cp:lastModifiedBy>
  <cp:revision>4</cp:revision>
  <dcterms:created xsi:type="dcterms:W3CDTF">2019-06-27T11:44:00Z</dcterms:created>
  <dcterms:modified xsi:type="dcterms:W3CDTF">2019-06-27T11:47:00Z</dcterms:modified>
</cp:coreProperties>
</file>